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E2" w:rsidRPr="00AC73C5" w:rsidRDefault="001174E2" w:rsidP="001174E2">
      <w:pPr>
        <w:spacing w:before="120" w:after="120"/>
        <w:jc w:val="center"/>
        <w:rPr>
          <w:b/>
        </w:rPr>
      </w:pPr>
      <w:bookmarkStart w:id="0" w:name="_Hlk102061502"/>
      <w:r w:rsidRPr="00AC73C5">
        <w:rPr>
          <w:b/>
          <w:lang w:val="vi-VN"/>
        </w:rPr>
        <w:t>Phụ lục 1</w:t>
      </w:r>
    </w:p>
    <w:p w:rsidR="001174E2" w:rsidRPr="00AC73C5" w:rsidRDefault="001174E2" w:rsidP="001174E2">
      <w:pPr>
        <w:widowControl w:val="0"/>
        <w:spacing w:before="120" w:after="120"/>
        <w:jc w:val="center"/>
        <w:rPr>
          <w:b/>
          <w:bCs/>
          <w:lang w:val="vi-VN"/>
        </w:rPr>
      </w:pPr>
      <w:r w:rsidRPr="00AC73C5">
        <w:rPr>
          <w:b/>
          <w:bCs/>
        </w:rPr>
        <w:t xml:space="preserve">DANH MỤC DỰ ÁN ƯU TIÊN </w:t>
      </w:r>
      <w:r w:rsidRPr="00AC73C5">
        <w:rPr>
          <w:b/>
          <w:bCs/>
          <w:lang w:val="vi-VN"/>
        </w:rPr>
        <w:t>MỜI GỌI ĐẦU TƯ NĂM 2026</w:t>
      </w:r>
    </w:p>
    <w:p w:rsidR="001174E2" w:rsidRPr="00AC73C5" w:rsidRDefault="001174E2" w:rsidP="001174E2">
      <w:pPr>
        <w:spacing w:before="120" w:after="120"/>
        <w:jc w:val="center"/>
        <w:rPr>
          <w:i/>
        </w:rPr>
      </w:pPr>
      <w:r w:rsidRPr="00AC73C5">
        <w:rPr>
          <w:i/>
        </w:rPr>
        <w:t xml:space="preserve">(Kèm theo </w:t>
      </w:r>
      <w:r w:rsidR="00E23C59">
        <w:rPr>
          <w:i/>
        </w:rPr>
        <w:t>Kế hoạch</w:t>
      </w:r>
      <w:r w:rsidRPr="00AC73C5">
        <w:rPr>
          <w:i/>
        </w:rPr>
        <w:t xml:space="preserve"> số</w:t>
      </w:r>
      <w:r w:rsidR="002D366C">
        <w:rPr>
          <w:i/>
        </w:rPr>
        <w:t>:</w:t>
      </w:r>
      <w:r w:rsidRPr="00AC73C5">
        <w:rPr>
          <w:i/>
        </w:rPr>
        <w:t xml:space="preserve"> </w:t>
      </w:r>
      <w:r w:rsidR="00220F8A">
        <w:rPr>
          <w:i/>
        </w:rPr>
        <w:t>541</w:t>
      </w:r>
      <w:r w:rsidRPr="00AC73C5">
        <w:rPr>
          <w:i/>
        </w:rPr>
        <w:t>/</w:t>
      </w:r>
      <w:r w:rsidR="00E23C59">
        <w:rPr>
          <w:i/>
        </w:rPr>
        <w:t>KH</w:t>
      </w:r>
      <w:r w:rsidRPr="00AC73C5">
        <w:rPr>
          <w:i/>
        </w:rPr>
        <w:t xml:space="preserve">-BQL ngày  </w:t>
      </w:r>
      <w:r w:rsidRPr="00AC73C5">
        <w:rPr>
          <w:i/>
          <w:lang w:val="vi-VN"/>
        </w:rPr>
        <w:t xml:space="preserve"> </w:t>
      </w:r>
      <w:r w:rsidR="00220F8A">
        <w:rPr>
          <w:i/>
        </w:rPr>
        <w:t>24</w:t>
      </w:r>
      <w:r w:rsidRPr="00AC73C5">
        <w:rPr>
          <w:i/>
        </w:rPr>
        <w:t>/</w:t>
      </w:r>
      <w:r w:rsidR="00B3661C">
        <w:rPr>
          <w:i/>
        </w:rPr>
        <w:t>2</w:t>
      </w:r>
      <w:r w:rsidRPr="00AC73C5">
        <w:rPr>
          <w:i/>
        </w:rPr>
        <w:t>/202</w:t>
      </w:r>
      <w:r w:rsidRPr="00AC73C5">
        <w:rPr>
          <w:i/>
          <w:lang w:val="vi-VN"/>
        </w:rPr>
        <w:t>6</w:t>
      </w:r>
      <w:r w:rsidRPr="00AC73C5">
        <w:rPr>
          <w:i/>
        </w:rPr>
        <w:t xml:space="preserve"> của Ban Quản lý các KCN tỉnh Thái Nguyên)</w:t>
      </w:r>
    </w:p>
    <w:tbl>
      <w:tblPr>
        <w:tblW w:w="14657" w:type="dxa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3267"/>
        <w:gridCol w:w="2107"/>
        <w:gridCol w:w="3444"/>
        <w:gridCol w:w="1701"/>
        <w:gridCol w:w="3413"/>
      </w:tblGrid>
      <w:tr w:rsidR="001174E2" w:rsidRPr="00BD29CC" w:rsidTr="004F089B">
        <w:trPr>
          <w:cantSplit/>
          <w:trHeight w:val="945"/>
          <w:tblHeader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74E2" w:rsidRPr="00BD29CC" w:rsidRDefault="001174E2" w:rsidP="00E40FD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D29C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E2" w:rsidRPr="00BD29CC" w:rsidRDefault="001174E2" w:rsidP="00E40FD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D29CC">
              <w:rPr>
                <w:b/>
                <w:sz w:val="26"/>
                <w:szCs w:val="26"/>
              </w:rPr>
              <w:t>Danh mục dự án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E2" w:rsidRPr="00BD29CC" w:rsidRDefault="001174E2" w:rsidP="00E40FD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D29CC">
              <w:rPr>
                <w:b/>
                <w:sz w:val="26"/>
                <w:szCs w:val="26"/>
                <w:lang w:val="vi-VN"/>
              </w:rPr>
              <w:t>Vị trí, địa điểm đầu tư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E2" w:rsidRPr="00BD29CC" w:rsidRDefault="001174E2" w:rsidP="00E40FD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D29CC">
              <w:rPr>
                <w:b/>
                <w:sz w:val="26"/>
                <w:szCs w:val="26"/>
              </w:rPr>
              <w:t>Nội dung, quy mô đầu tư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4E2" w:rsidRPr="00BD29CC" w:rsidRDefault="001174E2" w:rsidP="00E40FD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BD29CC">
              <w:rPr>
                <w:b/>
                <w:sz w:val="26"/>
                <w:szCs w:val="26"/>
              </w:rPr>
              <w:t xml:space="preserve">Sơ bộ tổng mức đầu tư </w:t>
            </w:r>
            <w:r w:rsidRPr="00BD29CC">
              <w:rPr>
                <w:sz w:val="26"/>
                <w:szCs w:val="26"/>
              </w:rPr>
              <w:t>(tỷ đồng)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4E2" w:rsidRPr="00BD29CC" w:rsidRDefault="001174E2" w:rsidP="00E40FD2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BD29CC">
              <w:rPr>
                <w:b/>
                <w:sz w:val="26"/>
                <w:szCs w:val="26"/>
                <w:lang w:val="vi-VN"/>
              </w:rPr>
              <w:t>Địa chỉ</w:t>
            </w:r>
          </w:p>
          <w:p w:rsidR="001174E2" w:rsidRPr="00BD29CC" w:rsidRDefault="001174E2" w:rsidP="00E40FD2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BD29CC">
              <w:rPr>
                <w:b/>
                <w:sz w:val="26"/>
                <w:szCs w:val="26"/>
                <w:lang w:val="vi-VN"/>
              </w:rPr>
              <w:t>liên hệ</w:t>
            </w:r>
          </w:p>
        </w:tc>
      </w:tr>
      <w:tr w:rsidR="001174E2" w:rsidRPr="00BD29CC" w:rsidTr="004F089B">
        <w:trPr>
          <w:trHeight w:val="64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4E2" w:rsidRPr="00BD29CC" w:rsidRDefault="001174E2" w:rsidP="00E40FD2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BD29CC">
              <w:rPr>
                <w:b/>
                <w:sz w:val="26"/>
                <w:szCs w:val="26"/>
                <w:lang w:val="vi-VN"/>
              </w:rPr>
              <w:t>I</w:t>
            </w:r>
          </w:p>
        </w:tc>
        <w:tc>
          <w:tcPr>
            <w:tcW w:w="139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4E2" w:rsidRPr="00BD29CC" w:rsidRDefault="001174E2" w:rsidP="00E40FD2">
            <w:pPr>
              <w:widowControl w:val="0"/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BD29CC">
              <w:rPr>
                <w:b/>
                <w:sz w:val="26"/>
                <w:szCs w:val="26"/>
                <w:shd w:val="clear" w:color="auto" w:fill="FFFFFF"/>
                <w:lang w:val="vi-VN"/>
              </w:rPr>
              <w:t>Hạ tầng khu công nghiệp</w:t>
            </w:r>
          </w:p>
        </w:tc>
      </w:tr>
      <w:tr w:rsidR="00E40FD2" w:rsidRPr="00BD29CC" w:rsidTr="00E40FD2">
        <w:trPr>
          <w:trHeight w:val="48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2A572E" w:rsidRDefault="00E40FD2" w:rsidP="00E40FD2">
            <w:pPr>
              <w:rPr>
                <w:color w:val="000000"/>
                <w:sz w:val="24"/>
                <w:szCs w:val="24"/>
              </w:rPr>
            </w:pPr>
            <w:r w:rsidRPr="002A572E">
              <w:rPr>
                <w:color w:val="000000"/>
                <w:sz w:val="24"/>
                <w:szCs w:val="24"/>
              </w:rPr>
              <w:t>KCN Chợ Mới 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2A572E" w:rsidRDefault="00E40FD2" w:rsidP="00E40FD2">
            <w:pPr>
              <w:rPr>
                <w:color w:val="000000"/>
                <w:sz w:val="24"/>
                <w:szCs w:val="24"/>
              </w:rPr>
            </w:pPr>
            <w:r w:rsidRPr="002A572E">
              <w:rPr>
                <w:color w:val="000000"/>
                <w:sz w:val="24"/>
                <w:szCs w:val="24"/>
              </w:rPr>
              <w:t>xã Thanh Mai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2A572E" w:rsidRDefault="00E40FD2" w:rsidP="00E40FD2">
            <w:pPr>
              <w:rPr>
                <w:color w:val="000000"/>
                <w:sz w:val="24"/>
                <w:szCs w:val="24"/>
              </w:rPr>
            </w:pPr>
            <w:r w:rsidRPr="002A572E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7.485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8A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 xml:space="preserve">Ông Nguyễn Thế Hoàn - </w:t>
            </w:r>
            <w:bookmarkStart w:id="1" w:name="_GoBack"/>
            <w:bookmarkEnd w:id="1"/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 xml:space="preserve">Trưởng Ban Quản lý các </w:t>
            </w:r>
            <w:r w:rsidRPr="00BD29CC">
              <w:rPr>
                <w:sz w:val="26"/>
                <w:szCs w:val="26"/>
                <w:shd w:val="clear" w:color="auto" w:fill="FFFFFF"/>
              </w:rPr>
              <w:t>KCN Thái Nguyên</w:t>
            </w:r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 xml:space="preserve">, </w:t>
            </w: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>ĐT: 0982.884.888</w:t>
            </w: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</w:rPr>
            </w:pPr>
          </w:p>
        </w:tc>
      </w:tr>
      <w:tr w:rsidR="00E40FD2" w:rsidRPr="00BD29CC" w:rsidTr="00E40FD2">
        <w:trPr>
          <w:trHeight w:val="40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2A572E" w:rsidRDefault="00E40FD2" w:rsidP="00E40FD2">
            <w:pPr>
              <w:rPr>
                <w:color w:val="000000"/>
                <w:sz w:val="24"/>
                <w:szCs w:val="24"/>
              </w:rPr>
            </w:pPr>
            <w:r w:rsidRPr="002A572E">
              <w:rPr>
                <w:color w:val="000000"/>
                <w:sz w:val="24"/>
                <w:szCs w:val="24"/>
              </w:rPr>
              <w:t>KCN Chợ Mới 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2A572E" w:rsidRDefault="00E40FD2" w:rsidP="00E40FD2">
            <w:pPr>
              <w:rPr>
                <w:color w:val="000000"/>
                <w:sz w:val="24"/>
                <w:szCs w:val="24"/>
              </w:rPr>
            </w:pPr>
            <w:r w:rsidRPr="002A572E">
              <w:rPr>
                <w:color w:val="000000"/>
                <w:sz w:val="24"/>
                <w:szCs w:val="24"/>
              </w:rPr>
              <w:t>Xã Thanh Thịnh,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2A572E" w:rsidRDefault="00E40FD2" w:rsidP="00E40FD2">
            <w:pPr>
              <w:rPr>
                <w:color w:val="000000"/>
                <w:sz w:val="24"/>
                <w:szCs w:val="24"/>
              </w:rPr>
            </w:pPr>
            <w:r w:rsidRPr="002A572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E40FD2">
        <w:trPr>
          <w:trHeight w:val="41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2A572E" w:rsidRDefault="00E40FD2" w:rsidP="00E40FD2">
            <w:pPr>
              <w:rPr>
                <w:color w:val="000000"/>
                <w:sz w:val="24"/>
                <w:szCs w:val="24"/>
              </w:rPr>
            </w:pPr>
            <w:r w:rsidRPr="002A572E">
              <w:rPr>
                <w:color w:val="000000"/>
                <w:sz w:val="24"/>
                <w:szCs w:val="24"/>
              </w:rPr>
              <w:t>KCN Chợ Mới 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2A572E" w:rsidRDefault="00E40FD2" w:rsidP="00E40FD2">
            <w:pPr>
              <w:rPr>
                <w:color w:val="000000"/>
                <w:sz w:val="24"/>
                <w:szCs w:val="24"/>
              </w:rPr>
            </w:pPr>
            <w:r w:rsidRPr="002A572E">
              <w:rPr>
                <w:color w:val="000000"/>
                <w:sz w:val="24"/>
                <w:szCs w:val="24"/>
              </w:rPr>
              <w:t>Xã Chợ Mới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2A572E" w:rsidRDefault="00E40FD2" w:rsidP="00E40FD2">
            <w:pPr>
              <w:rPr>
                <w:color w:val="000000"/>
                <w:sz w:val="24"/>
                <w:szCs w:val="24"/>
              </w:rPr>
            </w:pPr>
            <w:r w:rsidRPr="002A572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4.500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E40FD2">
        <w:trPr>
          <w:trHeight w:val="56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KCN Tân Thành 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Xã Phú Bình, Xã Tân Thành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3.690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</w:rPr>
            </w:pPr>
          </w:p>
        </w:tc>
      </w:tr>
      <w:tr w:rsidR="00E40FD2" w:rsidRPr="00BD29CC" w:rsidTr="00E40FD2">
        <w:trPr>
          <w:trHeight w:val="56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KCN Tân Thành 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Xã Phú Bình, xã Tân Thành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2.520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E40FD2">
        <w:trPr>
          <w:trHeight w:val="40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KCN Nga My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Xã Điềm Thụy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2.220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2D366C">
        <w:trPr>
          <w:trHeight w:val="6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 xml:space="preserve">KCN - đô thị - dịch vụ Thành Công </w:t>
            </w:r>
            <w:r w:rsidRPr="00C51C40">
              <w:rPr>
                <w:i/>
                <w:iCs/>
                <w:color w:val="000000"/>
                <w:sz w:val="24"/>
                <w:szCs w:val="24"/>
              </w:rPr>
              <w:t>(quy hoạch toàn khu là 980 ha, trong đó đất KCN là 735 ha)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Phường Phúc Thuận, xã Thành Công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11.025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2D366C">
        <w:trPr>
          <w:trHeight w:val="6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KCN Thành Công 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Phường Phúc Thuận, xã Thành Công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250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E40FD2">
        <w:trPr>
          <w:trHeight w:val="58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KCN Phúc Thuận 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Phường Phúc Thuận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6.075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2D366C">
        <w:trPr>
          <w:trHeight w:val="6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10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KCN Phúc Thuận 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Phường Phúc Thuận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2D366C">
        <w:trPr>
          <w:trHeight w:val="6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 xml:space="preserve">KCN - đô thị - dịch vụ xã Trại Cau </w:t>
            </w:r>
            <w:r w:rsidRPr="00C51C40">
              <w:rPr>
                <w:i/>
                <w:iCs/>
                <w:color w:val="000000"/>
                <w:sz w:val="24"/>
                <w:szCs w:val="24"/>
              </w:rPr>
              <w:t>(quy hoạch toàn khu là 2.100 ha, trong đó đất KCN là 1.800 ha)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Xã Trại Cau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1.800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27.000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2D366C">
        <w:trPr>
          <w:trHeight w:val="64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KCN Tân Khánh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Xã Tân Khánh, xã Trại Cau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3.500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E40FD2">
        <w:trPr>
          <w:trHeight w:val="52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13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KCN Vạn Xuân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Phường Vạn Xuân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180,8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4.950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E40FD2" w:rsidRPr="00BD29CC" w:rsidTr="00E40FD2">
        <w:trPr>
          <w:trHeight w:val="85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14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jc w:val="both"/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KCN Phúc Sơn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Phường Phúc Thuận, xã Tân Cương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FD2" w:rsidRPr="00C51C40" w:rsidRDefault="00E40FD2" w:rsidP="00E40FD2">
            <w:pPr>
              <w:rPr>
                <w:color w:val="000000"/>
                <w:sz w:val="24"/>
                <w:szCs w:val="24"/>
              </w:rPr>
            </w:pPr>
            <w:r w:rsidRPr="00C51C40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0FD2" w:rsidRPr="00BD29CC" w:rsidRDefault="00E40FD2" w:rsidP="00E40FD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6.750</w:t>
            </w: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D2" w:rsidRPr="00BD29CC" w:rsidRDefault="00E40FD2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982315" w:rsidRPr="00BD29CC" w:rsidTr="004F089B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315" w:rsidRPr="00BD29CC" w:rsidRDefault="00982315" w:rsidP="00E40FD2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BD29CC">
              <w:rPr>
                <w:b/>
                <w:sz w:val="26"/>
                <w:szCs w:val="26"/>
                <w:lang w:val="vi-VN"/>
              </w:rPr>
              <w:t>II</w:t>
            </w:r>
          </w:p>
        </w:tc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15" w:rsidRPr="00BD29CC" w:rsidRDefault="00982315" w:rsidP="00E40FD2">
            <w:pPr>
              <w:ind w:left="-23"/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BD29CC">
              <w:rPr>
                <w:b/>
                <w:sz w:val="26"/>
                <w:szCs w:val="26"/>
                <w:lang w:val="vi-VN"/>
              </w:rPr>
              <w:t>Mời gọi các nhà đầu tư thứ cấp vào đầu tư</w:t>
            </w:r>
            <w:r w:rsidR="000A36DB" w:rsidRPr="00BD29CC">
              <w:rPr>
                <w:b/>
                <w:sz w:val="26"/>
                <w:szCs w:val="26"/>
              </w:rPr>
              <w:t xml:space="preserve"> mới</w:t>
            </w:r>
            <w:r w:rsidRPr="00BD29CC">
              <w:rPr>
                <w:b/>
                <w:sz w:val="26"/>
                <w:szCs w:val="26"/>
              </w:rPr>
              <w:t>, tăng quy mô, tăng vốn đầu tư</w:t>
            </w:r>
            <w:r w:rsidRPr="00BD29CC">
              <w:rPr>
                <w:b/>
                <w:sz w:val="26"/>
                <w:szCs w:val="26"/>
                <w:lang w:val="vi-VN"/>
              </w:rPr>
              <w:t xml:space="preserve"> tại các KCN đã </w:t>
            </w:r>
            <w:r w:rsidRPr="00BD29CC">
              <w:rPr>
                <w:b/>
                <w:sz w:val="26"/>
                <w:szCs w:val="26"/>
              </w:rPr>
              <w:t xml:space="preserve">đầu tư xây dựng xong </w:t>
            </w:r>
            <w:r w:rsidRPr="00BD29CC">
              <w:rPr>
                <w:b/>
                <w:sz w:val="26"/>
                <w:szCs w:val="26"/>
                <w:lang w:val="vi-VN"/>
              </w:rPr>
              <w:t>hạ tầng</w:t>
            </w:r>
            <w:r w:rsidRPr="00BD29CC">
              <w:rPr>
                <w:b/>
                <w:sz w:val="26"/>
                <w:szCs w:val="26"/>
              </w:rPr>
              <w:t xml:space="preserve"> kỹ thuật</w:t>
            </w:r>
            <w:r w:rsidRPr="00BD29CC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</w:tr>
      <w:tr w:rsidR="007B76F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Yên Bình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</w:rPr>
              <w:t>X</w:t>
            </w:r>
            <w:r w:rsidRPr="00BD29CC">
              <w:rPr>
                <w:sz w:val="26"/>
                <w:szCs w:val="26"/>
                <w:lang w:val="vi-VN"/>
              </w:rPr>
              <w:t>ã Điềm Thụy, phường Vạn Xuân, phường Phổ Yên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400ha</w:t>
            </w:r>
          </w:p>
          <w:p w:rsidR="007B76FB" w:rsidRPr="00BD29CC" w:rsidRDefault="007B76F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  <w:r w:rsidRPr="00BD29CC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220F8A" w:rsidRDefault="007B76F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 xml:space="preserve">Ông Nguyễn Thế Hoàn - Trưởng Ban Quản lý các </w:t>
            </w:r>
            <w:r w:rsidRPr="00BD29CC">
              <w:rPr>
                <w:sz w:val="26"/>
                <w:szCs w:val="26"/>
                <w:shd w:val="clear" w:color="auto" w:fill="FFFFFF"/>
              </w:rPr>
              <w:t>KCN Thái Nguyên</w:t>
            </w:r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 xml:space="preserve">, </w:t>
            </w:r>
          </w:p>
          <w:p w:rsidR="007B76FB" w:rsidRPr="00BD29CC" w:rsidRDefault="007B76F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>ĐT: 0982.884.888</w:t>
            </w: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7B76F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Điềm Thụy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</w:rPr>
              <w:t>X</w:t>
            </w:r>
            <w:r w:rsidRPr="00BD29CC">
              <w:rPr>
                <w:sz w:val="26"/>
                <w:szCs w:val="26"/>
                <w:lang w:val="vi-VN"/>
              </w:rPr>
              <w:t>ã Điềm Thụy, phường Phổ Yên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201,6ha</w:t>
            </w:r>
          </w:p>
          <w:p w:rsidR="007B76FB" w:rsidRPr="00BD29CC" w:rsidRDefault="007B76F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</w:t>
            </w:r>
            <w:r w:rsidRPr="00BD29CC">
              <w:rPr>
                <w:sz w:val="26"/>
                <w:szCs w:val="26"/>
              </w:rPr>
              <w:t xml:space="preserve"> 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  <w:r w:rsidRPr="00BD29CC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7B76F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tabs>
                <w:tab w:val="left" w:pos="2266"/>
              </w:tabs>
              <w:jc w:val="both"/>
              <w:rPr>
                <w:sz w:val="26"/>
                <w:szCs w:val="26"/>
                <w:lang w:val="vi-VN"/>
              </w:rPr>
            </w:pPr>
          </w:p>
          <w:p w:rsidR="007B76FB" w:rsidRPr="00BD29CC" w:rsidRDefault="007B76FB" w:rsidP="00E40FD2">
            <w:pPr>
              <w:tabs>
                <w:tab w:val="left" w:pos="2266"/>
              </w:tabs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Sông Công 1</w:t>
            </w:r>
          </w:p>
          <w:p w:rsidR="007B76FB" w:rsidRPr="00BD29CC" w:rsidRDefault="007B76F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Phường Bách Quang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169,88ha</w:t>
            </w:r>
          </w:p>
          <w:p w:rsidR="007B76FB" w:rsidRPr="00BD29CC" w:rsidRDefault="007B76F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  <w:r w:rsidRPr="00BD29CC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7B76F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Sông Công II</w:t>
            </w:r>
            <w:r w:rsidRPr="00BD29CC">
              <w:rPr>
                <w:sz w:val="26"/>
                <w:szCs w:val="26"/>
              </w:rPr>
              <w:t>, giai đoạn 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Phường Bách Quang và phường Bá Xuyên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250ha</w:t>
            </w:r>
          </w:p>
          <w:p w:rsidR="007B76FB" w:rsidRPr="00BD29CC" w:rsidRDefault="007B76F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  <w:r w:rsidRPr="00BD29CC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7B76F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Nam Phổ Yên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Phường Trung Thành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93,24ha</w:t>
            </w:r>
          </w:p>
          <w:p w:rsidR="007B76FB" w:rsidRPr="00BD29CC" w:rsidRDefault="007B76F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  <w:r w:rsidRPr="00BD29CC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7B76F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Thanh Bình – giai đoạn 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Xã Thanh Thịnh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80,7</w:t>
            </w:r>
          </w:p>
          <w:p w:rsidR="007B76FB" w:rsidRPr="00BD29CC" w:rsidRDefault="007B76F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  <w:r w:rsidRPr="00BD29CC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FB" w:rsidRPr="00BD29CC" w:rsidRDefault="007B76F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BD29CC" w:rsidRDefault="007B76F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982315" w:rsidRPr="00BD29CC" w:rsidTr="004F089B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315" w:rsidRPr="00BD29CC" w:rsidRDefault="00982315" w:rsidP="00E40FD2">
            <w:pPr>
              <w:widowControl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BD29CC">
              <w:rPr>
                <w:b/>
                <w:sz w:val="26"/>
                <w:szCs w:val="26"/>
                <w:lang w:val="vi-VN"/>
              </w:rPr>
              <w:t>III</w:t>
            </w:r>
          </w:p>
        </w:tc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315" w:rsidRPr="00BD29CC" w:rsidRDefault="00982315" w:rsidP="00E40FD2">
            <w:pPr>
              <w:ind w:left="-23"/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BD29CC">
              <w:rPr>
                <w:b/>
                <w:sz w:val="26"/>
                <w:szCs w:val="26"/>
                <w:lang w:val="vi-VN"/>
              </w:rPr>
              <w:t xml:space="preserve">Mời gọi các nhà đầu tư thứ cấp đầu tư tại các KCN đang </w:t>
            </w:r>
            <w:r w:rsidRPr="00BD29CC">
              <w:rPr>
                <w:b/>
                <w:sz w:val="26"/>
                <w:szCs w:val="26"/>
              </w:rPr>
              <w:t xml:space="preserve">đầu tư xây </w:t>
            </w:r>
            <w:r w:rsidRPr="00BD29CC">
              <w:rPr>
                <w:b/>
                <w:sz w:val="26"/>
                <w:szCs w:val="26"/>
                <w:lang w:val="vi-VN"/>
              </w:rPr>
              <w:t>hạ tầng</w:t>
            </w:r>
            <w:r w:rsidRPr="00BD29CC">
              <w:rPr>
                <w:b/>
                <w:sz w:val="26"/>
                <w:szCs w:val="26"/>
              </w:rPr>
              <w:t xml:space="preserve"> kỹ thuật</w:t>
            </w:r>
          </w:p>
        </w:tc>
      </w:tr>
      <w:tr w:rsidR="000A36D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Yên Bình 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Xã Điềm Thụy, phường Vạn Xuân, phường Phổ Yên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299,07ha</w:t>
            </w:r>
          </w:p>
          <w:p w:rsidR="000A36DB" w:rsidRPr="00BD29CC" w:rsidRDefault="000A36D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220F8A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 xml:space="preserve">Ông Nguyễn Thế Hoàn - Trưởng Ban Quản lý các </w:t>
            </w:r>
            <w:r w:rsidRPr="00BD29CC">
              <w:rPr>
                <w:sz w:val="26"/>
                <w:szCs w:val="26"/>
                <w:shd w:val="clear" w:color="auto" w:fill="FFFFFF"/>
              </w:rPr>
              <w:t>KCN Thái Nguyên</w:t>
            </w:r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 xml:space="preserve">, </w:t>
            </w: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BD29CC">
              <w:rPr>
                <w:sz w:val="26"/>
                <w:szCs w:val="26"/>
                <w:shd w:val="clear" w:color="auto" w:fill="FFFFFF"/>
                <w:lang w:val="vi-VN"/>
              </w:rPr>
              <w:t>ĐT: 0982.884.888</w:t>
            </w: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0A36D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Yên Bình 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Xã Điềm Thụy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295,34 ha</w:t>
            </w:r>
          </w:p>
          <w:p w:rsidR="000A36DB" w:rsidRPr="00BD29CC" w:rsidRDefault="000A36D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0A36D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Phú Bình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Xã Phú Bình,</w:t>
            </w:r>
          </w:p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xã Kha Sơn, xã</w:t>
            </w:r>
          </w:p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Tân Thành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675ha</w:t>
            </w:r>
          </w:p>
          <w:p w:rsidR="000A36DB" w:rsidRPr="00BD29CC" w:rsidRDefault="000A36D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0A36D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Thượng Đình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Xã Điềm Thụy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128,18ha</w:t>
            </w:r>
          </w:p>
          <w:p w:rsidR="000A36DB" w:rsidRPr="00BD29CC" w:rsidRDefault="000A36D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0A36D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Sông Công II, giai đoạn 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Phường Bách Quang và phường Bá Xuyên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296,21ha</w:t>
            </w:r>
          </w:p>
          <w:p w:rsidR="000A36DB" w:rsidRPr="00BD29CC" w:rsidRDefault="000A36D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0A36D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KCN Thanh Bình - giai đoạn II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Xã Thanh Thịnh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>- Quy mô: 80,3 ha</w:t>
            </w:r>
          </w:p>
          <w:p w:rsidR="000A36DB" w:rsidRPr="00BD29CC" w:rsidRDefault="000A36DB" w:rsidP="00E40FD2">
            <w:pPr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tr w:rsidR="000A36DB" w:rsidRPr="00BD29CC" w:rsidTr="002D366C">
        <w:trPr>
          <w:trHeight w:val="7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both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</w:rPr>
              <w:t xml:space="preserve">KCN Tây Phổ Yên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</w:rPr>
              <w:t>P. Phúc Thuận, X.Thành Công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  <w:lang w:val="vi-VN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Quy mô: </w:t>
            </w:r>
            <w:r w:rsidRPr="00BD29CC">
              <w:rPr>
                <w:sz w:val="26"/>
                <w:szCs w:val="26"/>
              </w:rPr>
              <w:t>499,07</w:t>
            </w:r>
            <w:r w:rsidRPr="00BD29CC">
              <w:rPr>
                <w:sz w:val="26"/>
                <w:szCs w:val="26"/>
                <w:lang w:val="vi-VN"/>
              </w:rPr>
              <w:t xml:space="preserve"> ha</w:t>
            </w:r>
          </w:p>
          <w:p w:rsidR="000A36DB" w:rsidRPr="00BD29CC" w:rsidRDefault="000A36DB" w:rsidP="00E40FD2">
            <w:pPr>
              <w:tabs>
                <w:tab w:val="left" w:pos="2266"/>
              </w:tabs>
              <w:ind w:right="-40"/>
              <w:jc w:val="both"/>
              <w:rPr>
                <w:sz w:val="26"/>
                <w:szCs w:val="26"/>
              </w:rPr>
            </w:pPr>
            <w:r w:rsidRPr="00BD29CC">
              <w:rPr>
                <w:sz w:val="26"/>
                <w:szCs w:val="26"/>
                <w:lang w:val="vi-VN"/>
              </w:rPr>
              <w:t xml:space="preserve">- </w:t>
            </w:r>
            <w:r w:rsidRPr="00BD29CC">
              <w:rPr>
                <w:sz w:val="26"/>
                <w:szCs w:val="26"/>
              </w:rPr>
              <w:t xml:space="preserve">KCN </w:t>
            </w:r>
            <w:r w:rsidRPr="00BD29CC">
              <w:rPr>
                <w:sz w:val="26"/>
                <w:szCs w:val="26"/>
                <w:lang w:val="vi-VN"/>
              </w:rPr>
              <w:t xml:space="preserve">đa ngành nghề; </w:t>
            </w:r>
            <w:r w:rsidRPr="00BD29CC">
              <w:rPr>
                <w:sz w:val="26"/>
                <w:szCs w:val="26"/>
              </w:rPr>
              <w:t xml:space="preserve">ưu tiên thu hút đầu tư </w:t>
            </w:r>
            <w:r w:rsidRPr="00BD29CC">
              <w:rPr>
                <w:sz w:val="26"/>
                <w:szCs w:val="26"/>
                <w:lang w:val="vi-VN"/>
              </w:rPr>
              <w:t>các dự án công nghệ cao, phát thải thấp, ít thâm dụng lao động, tiết kiệm năng lượng, các dự án có khả năng tham gia c</w:t>
            </w:r>
            <w:r w:rsidRPr="00BD29CC">
              <w:rPr>
                <w:sz w:val="26"/>
                <w:szCs w:val="26"/>
              </w:rPr>
              <w:t>huỗi cung ứng tuần hoàn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36DB" w:rsidRPr="00BD29CC" w:rsidRDefault="000A36DB" w:rsidP="00E40F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DB" w:rsidRPr="00BD29CC" w:rsidRDefault="000A36DB" w:rsidP="00E40FD2">
            <w:pPr>
              <w:ind w:left="-23"/>
              <w:jc w:val="center"/>
              <w:rPr>
                <w:sz w:val="26"/>
                <w:szCs w:val="26"/>
                <w:shd w:val="clear" w:color="auto" w:fill="FFFFFF"/>
                <w:lang w:val="vi-VN"/>
              </w:rPr>
            </w:pPr>
          </w:p>
        </w:tc>
      </w:tr>
      <w:bookmarkEnd w:id="0"/>
    </w:tbl>
    <w:p w:rsidR="005304E3" w:rsidRDefault="005304E3" w:rsidP="00220F8A">
      <w:pPr>
        <w:shd w:val="clear" w:color="auto" w:fill="FFFFFF"/>
        <w:spacing w:before="60" w:after="60" w:line="264" w:lineRule="auto"/>
      </w:pPr>
    </w:p>
    <w:sectPr w:rsidR="005304E3" w:rsidSect="00220F8A">
      <w:pgSz w:w="16840" w:h="11907" w:orient="landscape" w:code="9"/>
      <w:pgMar w:top="1134" w:right="1134" w:bottom="1134" w:left="1134" w:header="720" w:footer="720" w:gutter="0"/>
      <w:pgNumType w:start="1" w:chapStyle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E2"/>
    <w:rsid w:val="000A36DB"/>
    <w:rsid w:val="001174E2"/>
    <w:rsid w:val="0021399D"/>
    <w:rsid w:val="00220F8A"/>
    <w:rsid w:val="002B611C"/>
    <w:rsid w:val="002D366C"/>
    <w:rsid w:val="004A218F"/>
    <w:rsid w:val="005304E3"/>
    <w:rsid w:val="007B76FB"/>
    <w:rsid w:val="007E368E"/>
    <w:rsid w:val="00982315"/>
    <w:rsid w:val="00A335D1"/>
    <w:rsid w:val="00B3661C"/>
    <w:rsid w:val="00BD29CC"/>
    <w:rsid w:val="00C82B4B"/>
    <w:rsid w:val="00E23C59"/>
    <w:rsid w:val="00E4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0549"/>
  <w15:chartTrackingRefBased/>
  <w15:docId w15:val="{67B661A8-8DCF-4F63-AF88-05CBB794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E7FB-59EA-4ACE-B5CB-3999A71A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2026-04-22T09:55:00Z</cp:lastPrinted>
  <dcterms:created xsi:type="dcterms:W3CDTF">2026-03-09T03:24:00Z</dcterms:created>
  <dcterms:modified xsi:type="dcterms:W3CDTF">2026-04-22T13:11:00Z</dcterms:modified>
</cp:coreProperties>
</file>